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A8" w:rsidRDefault="00CF79A8" w:rsidP="00CF79A8">
      <w:pPr>
        <w:adjustRightInd w:val="0"/>
        <w:snapToGrid w:val="0"/>
        <w:spacing w:line="480" w:lineRule="exact"/>
        <w:ind w:left="975" w:hanging="975"/>
        <w:jc w:val="center"/>
        <w:rPr>
          <w:rFonts w:ascii="標楷體" w:eastAsia="標楷體" w:hAnsi="標楷體"/>
          <w:sz w:val="36"/>
          <w:szCs w:val="20"/>
        </w:rPr>
      </w:pPr>
      <w:r>
        <w:rPr>
          <w:rFonts w:ascii="標楷體" w:eastAsia="標楷體" w:hAnsi="標楷體" w:hint="eastAsia"/>
          <w:sz w:val="36"/>
          <w:szCs w:val="20"/>
        </w:rPr>
        <w:t>國立中山大學96年度第1次校務基金管理委員會會議</w:t>
      </w:r>
    </w:p>
    <w:p w:rsidR="00CF79A8" w:rsidRDefault="00CF79A8" w:rsidP="00CF79A8">
      <w:pPr>
        <w:adjustRightInd w:val="0"/>
        <w:snapToGrid w:val="0"/>
        <w:spacing w:line="480" w:lineRule="exact"/>
        <w:ind w:left="975" w:hanging="975"/>
        <w:jc w:val="center"/>
        <w:rPr>
          <w:rFonts w:ascii="標楷體" w:eastAsia="標楷體" w:hAnsi="標楷體"/>
          <w:sz w:val="32"/>
          <w:szCs w:val="20"/>
        </w:rPr>
      </w:pPr>
      <w:r>
        <w:rPr>
          <w:rFonts w:ascii="標楷體" w:eastAsia="標楷體" w:hAnsi="標楷體" w:hint="eastAsia"/>
          <w:sz w:val="36"/>
          <w:szCs w:val="20"/>
        </w:rPr>
        <w:t>決</w:t>
      </w:r>
      <w:r>
        <w:rPr>
          <w:rFonts w:ascii="標楷體" w:eastAsia="標楷體" w:hAnsi="標楷體"/>
          <w:sz w:val="36"/>
          <w:szCs w:val="20"/>
        </w:rPr>
        <w:t xml:space="preserve"> </w:t>
      </w:r>
      <w:r>
        <w:rPr>
          <w:rFonts w:ascii="標楷體" w:eastAsia="標楷體" w:hAnsi="標楷體" w:hint="eastAsia"/>
          <w:sz w:val="36"/>
          <w:szCs w:val="20"/>
        </w:rPr>
        <w:t>議 事 項 執 行 情 形</w:t>
      </w:r>
    </w:p>
    <w:p w:rsidR="00CF79A8" w:rsidRDefault="00CF79A8" w:rsidP="00CF79A8">
      <w:pPr>
        <w:tabs>
          <w:tab w:val="left" w:leader="hyphen" w:pos="12905"/>
        </w:tabs>
        <w:adjustRightInd w:val="0"/>
        <w:snapToGrid w:val="0"/>
        <w:spacing w:line="300" w:lineRule="auto"/>
        <w:ind w:firstLineChars="200" w:firstLine="640"/>
        <w:jc w:val="both"/>
        <w:rPr>
          <w:rFonts w:ascii="標楷體" w:eastAsia="標楷體" w:hAnsi="標楷體" w:hint="eastAsia"/>
          <w:sz w:val="32"/>
        </w:rPr>
      </w:pPr>
    </w:p>
    <w:p w:rsidR="00CF79A8" w:rsidRPr="00CF79A8" w:rsidRDefault="00CF79A8" w:rsidP="00CF79A8">
      <w:pPr>
        <w:tabs>
          <w:tab w:val="left" w:leader="hyphen" w:pos="12905"/>
        </w:tabs>
        <w:adjustRightInd w:val="0"/>
        <w:snapToGrid w:val="0"/>
        <w:spacing w:line="300" w:lineRule="auto"/>
        <w:ind w:left="518" w:hangingChars="185" w:hanging="518"/>
        <w:jc w:val="both"/>
        <w:rPr>
          <w:rFonts w:ascii="標楷體" w:eastAsia="標楷體" w:hint="eastAsia"/>
          <w:sz w:val="28"/>
          <w:szCs w:val="28"/>
        </w:rPr>
      </w:pPr>
      <w:r w:rsidRPr="00CF79A8">
        <w:rPr>
          <w:rFonts w:ascii="標楷體" w:eastAsia="標楷體" w:hint="eastAsia"/>
          <w:sz w:val="28"/>
          <w:szCs w:val="28"/>
        </w:rPr>
        <w:t>一、林向愷委員提出首長座車</w:t>
      </w:r>
      <w:proofErr w:type="gramStart"/>
      <w:r w:rsidRPr="00CF79A8">
        <w:rPr>
          <w:rFonts w:ascii="標楷體" w:eastAsia="標楷體" w:hint="eastAsia"/>
          <w:sz w:val="28"/>
          <w:szCs w:val="28"/>
        </w:rPr>
        <w:t>汰</w:t>
      </w:r>
      <w:proofErr w:type="gramEnd"/>
      <w:r w:rsidRPr="00CF79A8">
        <w:rPr>
          <w:rFonts w:ascii="標楷體" w:eastAsia="標楷體" w:hint="eastAsia"/>
          <w:sz w:val="28"/>
          <w:szCs w:val="28"/>
        </w:rPr>
        <w:t>換經費編制不足，並建議可採用租賃方式。</w:t>
      </w:r>
    </w:p>
    <w:p w:rsidR="00CF79A8" w:rsidRPr="00CF79A8" w:rsidRDefault="00CF79A8" w:rsidP="00CF79A8">
      <w:pPr>
        <w:tabs>
          <w:tab w:val="left" w:leader="hyphen" w:pos="9360"/>
        </w:tabs>
        <w:adjustRightInd w:val="0"/>
        <w:snapToGrid w:val="0"/>
        <w:spacing w:line="300" w:lineRule="auto"/>
        <w:ind w:rightChars="60" w:right="144" w:firstLineChars="190" w:firstLine="533"/>
        <w:jc w:val="both"/>
        <w:rPr>
          <w:rFonts w:ascii="華康仿宋體W6(P)" w:eastAsia="標楷體" w:hAnsi="標楷體" w:hint="eastAsia"/>
          <w:sz w:val="28"/>
          <w:szCs w:val="28"/>
        </w:rPr>
      </w:pPr>
      <w:r w:rsidRPr="00CF79A8">
        <w:rPr>
          <w:rFonts w:ascii="標楷體" w:eastAsia="標楷體" w:hint="eastAsia"/>
          <w:b/>
          <w:sz w:val="28"/>
          <w:szCs w:val="28"/>
        </w:rPr>
        <w:t>決議</w:t>
      </w:r>
      <w:r w:rsidRPr="00CF79A8">
        <w:rPr>
          <w:rFonts w:ascii="標楷體" w:eastAsia="標楷體" w:hint="eastAsia"/>
          <w:sz w:val="28"/>
          <w:szCs w:val="28"/>
        </w:rPr>
        <w:t>：主席裁示由總務處作評估後，再作決定。</w:t>
      </w:r>
    </w:p>
    <w:p w:rsidR="00CF79A8" w:rsidRPr="00CF79A8" w:rsidRDefault="00CF79A8" w:rsidP="00CF79A8">
      <w:pPr>
        <w:tabs>
          <w:tab w:val="left" w:leader="hyphen" w:pos="13560"/>
        </w:tabs>
        <w:adjustRightInd w:val="0"/>
        <w:snapToGrid w:val="0"/>
        <w:spacing w:line="300" w:lineRule="auto"/>
        <w:ind w:rightChars="60" w:right="144" w:firstLineChars="190" w:firstLine="533"/>
        <w:jc w:val="both"/>
        <w:rPr>
          <w:rFonts w:ascii="標楷體" w:eastAsia="標楷體" w:hint="eastAsia"/>
          <w:sz w:val="28"/>
          <w:szCs w:val="28"/>
        </w:rPr>
      </w:pPr>
      <w:r w:rsidRPr="00CF79A8">
        <w:rPr>
          <w:rFonts w:ascii="標楷體" w:eastAsia="標楷體" w:hint="eastAsia"/>
          <w:b/>
          <w:sz w:val="28"/>
          <w:szCs w:val="28"/>
        </w:rPr>
        <w:t>執行情形</w:t>
      </w:r>
      <w:r w:rsidRPr="00CF79A8">
        <w:rPr>
          <w:rFonts w:ascii="標楷體" w:eastAsia="標楷體" w:hint="eastAsia"/>
          <w:sz w:val="28"/>
          <w:szCs w:val="28"/>
        </w:rPr>
        <w:t>：</w:t>
      </w:r>
    </w:p>
    <w:p w:rsidR="00CF79A8" w:rsidRPr="00CF79A8" w:rsidRDefault="00CF79A8" w:rsidP="00CF79A8">
      <w:pPr>
        <w:pStyle w:val="a4"/>
        <w:numPr>
          <w:ilvl w:val="0"/>
          <w:numId w:val="4"/>
        </w:numPr>
        <w:tabs>
          <w:tab w:val="left" w:leader="hyphen" w:pos="13560"/>
        </w:tabs>
        <w:adjustRightInd w:val="0"/>
        <w:snapToGrid w:val="0"/>
        <w:spacing w:line="300" w:lineRule="auto"/>
        <w:ind w:leftChars="0" w:left="851" w:rightChars="60" w:right="144" w:hanging="284"/>
        <w:jc w:val="both"/>
        <w:rPr>
          <w:rFonts w:ascii="標楷體" w:eastAsia="標楷體" w:hint="eastAsia"/>
          <w:sz w:val="28"/>
          <w:szCs w:val="28"/>
        </w:rPr>
      </w:pPr>
      <w:r w:rsidRPr="00CF79A8">
        <w:rPr>
          <w:rFonts w:ascii="標楷體" w:eastAsia="標楷體" w:hint="eastAsia"/>
          <w:sz w:val="28"/>
          <w:szCs w:val="28"/>
        </w:rPr>
        <w:t>安保組趙崇偉組長簽請改以編列97年度預算方式購置校長座車。</w:t>
      </w:r>
    </w:p>
    <w:p w:rsidR="00CF79A8" w:rsidRPr="00CF79A8" w:rsidRDefault="00CF79A8" w:rsidP="00CF79A8">
      <w:pPr>
        <w:pStyle w:val="a4"/>
        <w:numPr>
          <w:ilvl w:val="0"/>
          <w:numId w:val="4"/>
        </w:numPr>
        <w:tabs>
          <w:tab w:val="left" w:leader="hyphen" w:pos="13560"/>
        </w:tabs>
        <w:adjustRightInd w:val="0"/>
        <w:snapToGrid w:val="0"/>
        <w:spacing w:line="300" w:lineRule="auto"/>
        <w:ind w:leftChars="0" w:left="851" w:rightChars="60" w:right="144" w:hanging="284"/>
        <w:jc w:val="both"/>
        <w:rPr>
          <w:rFonts w:ascii="標楷體" w:eastAsia="標楷體" w:hint="eastAsia"/>
          <w:sz w:val="28"/>
          <w:szCs w:val="28"/>
        </w:rPr>
      </w:pPr>
      <w:r w:rsidRPr="00CF79A8">
        <w:rPr>
          <w:rFonts w:ascii="標楷體" w:eastAsia="標楷體" w:hint="eastAsia"/>
          <w:sz w:val="28"/>
          <w:szCs w:val="28"/>
        </w:rPr>
        <w:t>填寫97年度</w:t>
      </w:r>
      <w:proofErr w:type="gramStart"/>
      <w:r w:rsidRPr="00CF79A8">
        <w:rPr>
          <w:rFonts w:ascii="標楷體" w:eastAsia="標楷體" w:hint="eastAsia"/>
          <w:sz w:val="28"/>
          <w:szCs w:val="28"/>
        </w:rPr>
        <w:t>公務車專項</w:t>
      </w:r>
      <w:proofErr w:type="gramEnd"/>
      <w:r w:rsidRPr="00CF79A8">
        <w:rPr>
          <w:rFonts w:ascii="標楷體" w:eastAsia="標楷體" w:hint="eastAsia"/>
          <w:sz w:val="28"/>
          <w:szCs w:val="28"/>
        </w:rPr>
        <w:t>計畫預算明細表，價格參考中信局採購資料，編列879仟元預算。</w:t>
      </w:r>
    </w:p>
    <w:p w:rsidR="00CF79A8" w:rsidRPr="00CF79A8" w:rsidRDefault="00CF79A8" w:rsidP="00CF79A8">
      <w:pPr>
        <w:pStyle w:val="a4"/>
        <w:numPr>
          <w:ilvl w:val="0"/>
          <w:numId w:val="4"/>
        </w:numPr>
        <w:tabs>
          <w:tab w:val="left" w:leader="hyphen" w:pos="13560"/>
        </w:tabs>
        <w:adjustRightInd w:val="0"/>
        <w:snapToGrid w:val="0"/>
        <w:spacing w:line="300" w:lineRule="auto"/>
        <w:ind w:leftChars="0" w:left="851" w:rightChars="60" w:right="144" w:hanging="284"/>
        <w:jc w:val="both"/>
        <w:rPr>
          <w:rFonts w:ascii="標楷體" w:eastAsia="標楷體" w:hint="eastAsia"/>
          <w:sz w:val="28"/>
          <w:szCs w:val="28"/>
        </w:rPr>
      </w:pPr>
      <w:r w:rsidRPr="00CF79A8">
        <w:rPr>
          <w:rFonts w:ascii="標楷體" w:eastAsia="標楷體" w:hint="eastAsia"/>
          <w:sz w:val="28"/>
          <w:szCs w:val="28"/>
        </w:rPr>
        <w:t>提供購車預算資料給會計室，供立法院預算中心審核。</w:t>
      </w:r>
    </w:p>
    <w:p w:rsidR="00CF79A8" w:rsidRPr="00CF79A8" w:rsidRDefault="00CF79A8" w:rsidP="00CF79A8">
      <w:pPr>
        <w:tabs>
          <w:tab w:val="left" w:leader="hyphen" w:pos="12905"/>
        </w:tabs>
        <w:adjustRightInd w:val="0"/>
        <w:snapToGrid w:val="0"/>
        <w:spacing w:line="300" w:lineRule="auto"/>
        <w:ind w:left="563" w:hangingChars="201" w:hanging="563"/>
        <w:jc w:val="both"/>
        <w:rPr>
          <w:rFonts w:ascii="標楷體" w:eastAsia="標楷體" w:hint="eastAsia"/>
          <w:sz w:val="28"/>
          <w:szCs w:val="28"/>
        </w:rPr>
      </w:pPr>
      <w:r w:rsidRPr="00CF79A8">
        <w:rPr>
          <w:rFonts w:ascii="標楷體" w:eastAsia="標楷體" w:hint="eastAsia"/>
          <w:sz w:val="28"/>
          <w:szCs w:val="28"/>
        </w:rPr>
        <w:t>二、張德盛委員提出學校圖書館經費應用於「發展國際一流大學及頂尖研究計畫」的4個發展中心主軸：尖端晶體光電科技研究中心、亞太海洋研發中心、奈米科技研發中心、電子商務與科技創新研究中心。擬請基礎建設小組與各中心考量張委員之建議；另若有經費不足之狀況時，亦請各中心與基礎建設小組經費配合，並於下次會議中報告執行情形。</w:t>
      </w:r>
    </w:p>
    <w:p w:rsidR="00CF79A8" w:rsidRPr="00CF79A8" w:rsidRDefault="00CF79A8" w:rsidP="00CF79A8">
      <w:pPr>
        <w:tabs>
          <w:tab w:val="left" w:leader="hyphen" w:pos="9360"/>
        </w:tabs>
        <w:adjustRightInd w:val="0"/>
        <w:snapToGrid w:val="0"/>
        <w:spacing w:line="300" w:lineRule="auto"/>
        <w:ind w:leftChars="222" w:left="1399" w:rightChars="60" w:right="144" w:hangingChars="309" w:hanging="866"/>
        <w:jc w:val="both"/>
        <w:rPr>
          <w:rFonts w:ascii="標楷體" w:eastAsia="標楷體" w:hint="eastAsia"/>
          <w:b/>
          <w:sz w:val="28"/>
          <w:szCs w:val="28"/>
        </w:rPr>
      </w:pPr>
      <w:r w:rsidRPr="00CF79A8">
        <w:rPr>
          <w:rFonts w:ascii="標楷體" w:eastAsia="標楷體" w:hint="eastAsia"/>
          <w:b/>
          <w:sz w:val="28"/>
          <w:szCs w:val="28"/>
        </w:rPr>
        <w:t>決議：</w:t>
      </w:r>
      <w:r w:rsidRPr="00CF79A8">
        <w:rPr>
          <w:rFonts w:ascii="標楷體" w:eastAsia="標楷體" w:hint="eastAsia"/>
          <w:sz w:val="28"/>
          <w:szCs w:val="28"/>
        </w:rPr>
        <w:t>擬請基礎建設小組與各中心考量張委員之建議；另若有經費不足之狀況時，亦請各中心與基礎建設小組經費配合，並於下次會議中報告執行情形。</w:t>
      </w:r>
    </w:p>
    <w:p w:rsidR="00CF79A8" w:rsidRPr="00CF79A8" w:rsidRDefault="00CF79A8" w:rsidP="00CF79A8">
      <w:pPr>
        <w:tabs>
          <w:tab w:val="left" w:leader="hyphen" w:pos="9360"/>
        </w:tabs>
        <w:adjustRightInd w:val="0"/>
        <w:snapToGrid w:val="0"/>
        <w:spacing w:line="300" w:lineRule="auto"/>
        <w:ind w:rightChars="60" w:right="144" w:firstLineChars="190" w:firstLine="533"/>
        <w:jc w:val="both"/>
        <w:rPr>
          <w:rFonts w:ascii="標楷體" w:eastAsia="標楷體" w:hint="eastAsia"/>
          <w:b/>
          <w:sz w:val="28"/>
          <w:szCs w:val="28"/>
        </w:rPr>
      </w:pPr>
      <w:r w:rsidRPr="00CF79A8">
        <w:rPr>
          <w:rFonts w:ascii="標楷體" w:eastAsia="標楷體" w:hint="eastAsia"/>
          <w:b/>
          <w:sz w:val="28"/>
          <w:szCs w:val="28"/>
        </w:rPr>
        <w:t>執行情形：</w:t>
      </w:r>
    </w:p>
    <w:p w:rsidR="00CF79A8" w:rsidRPr="00CF79A8" w:rsidRDefault="00CF79A8" w:rsidP="00CF79A8">
      <w:pPr>
        <w:pStyle w:val="a4"/>
        <w:numPr>
          <w:ilvl w:val="0"/>
          <w:numId w:val="6"/>
        </w:numPr>
        <w:tabs>
          <w:tab w:val="left" w:leader="hyphen" w:pos="13560"/>
        </w:tabs>
        <w:adjustRightInd w:val="0"/>
        <w:snapToGrid w:val="0"/>
        <w:spacing w:line="300" w:lineRule="auto"/>
        <w:ind w:leftChars="0" w:left="851" w:rightChars="60" w:right="144" w:hanging="284"/>
        <w:jc w:val="both"/>
        <w:rPr>
          <w:rFonts w:ascii="標楷體" w:eastAsia="標楷體" w:hint="eastAsia"/>
          <w:sz w:val="28"/>
          <w:szCs w:val="28"/>
        </w:rPr>
      </w:pPr>
      <w:r w:rsidRPr="00CF79A8">
        <w:rPr>
          <w:rFonts w:ascii="標楷體" w:eastAsia="標楷體" w:hint="eastAsia"/>
          <w:sz w:val="28"/>
          <w:szCs w:val="28"/>
        </w:rPr>
        <w:t>為求校務發展</w:t>
      </w:r>
      <w:proofErr w:type="gramStart"/>
      <w:r w:rsidRPr="00CF79A8">
        <w:rPr>
          <w:rFonts w:ascii="標楷體" w:eastAsia="標楷體" w:hint="eastAsia"/>
          <w:sz w:val="28"/>
          <w:szCs w:val="28"/>
        </w:rPr>
        <w:t>最</w:t>
      </w:r>
      <w:proofErr w:type="gramEnd"/>
      <w:r w:rsidRPr="00CF79A8">
        <w:rPr>
          <w:rFonts w:ascii="標楷體" w:eastAsia="標楷體" w:hint="eastAsia"/>
          <w:sz w:val="28"/>
          <w:szCs w:val="28"/>
        </w:rPr>
        <w:t>適需求，油總務處調整經常門校舍維護費5,341,581元至光電中心使用。</w:t>
      </w:r>
    </w:p>
    <w:p w:rsidR="006E5470" w:rsidRPr="00CF79A8" w:rsidRDefault="00CF79A8" w:rsidP="00CF79A8">
      <w:pPr>
        <w:pStyle w:val="a4"/>
        <w:numPr>
          <w:ilvl w:val="0"/>
          <w:numId w:val="6"/>
        </w:numPr>
        <w:tabs>
          <w:tab w:val="left" w:leader="hyphen" w:pos="13560"/>
        </w:tabs>
        <w:adjustRightInd w:val="0"/>
        <w:snapToGrid w:val="0"/>
        <w:spacing w:line="300" w:lineRule="auto"/>
        <w:ind w:leftChars="0" w:left="851" w:rightChars="60" w:right="144" w:hanging="284"/>
        <w:jc w:val="both"/>
        <w:rPr>
          <w:rFonts w:ascii="標楷體" w:eastAsia="標楷體"/>
          <w:sz w:val="28"/>
          <w:szCs w:val="28"/>
        </w:rPr>
      </w:pPr>
      <w:r w:rsidRPr="00CF79A8">
        <w:rPr>
          <w:rFonts w:ascii="標楷體" w:eastAsia="標楷體" w:hint="eastAsia"/>
          <w:sz w:val="28"/>
          <w:szCs w:val="28"/>
        </w:rPr>
        <w:t>並由光電中心資本門機械設備項下以同等額度交由總務處依實際需求辦理校舍維護，以為因應。</w:t>
      </w:r>
    </w:p>
    <w:sectPr w:rsidR="006E5470" w:rsidRPr="00CF79A8" w:rsidSect="006E547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仿宋體W6(P)">
    <w:panose1 w:val="020206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7C3"/>
    <w:multiLevelType w:val="hybridMultilevel"/>
    <w:tmpl w:val="3D2AC66C"/>
    <w:lvl w:ilvl="0" w:tplc="39061808">
      <w:start w:val="1"/>
      <w:numFmt w:val="decimal"/>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20F16ADC"/>
    <w:multiLevelType w:val="hybridMultilevel"/>
    <w:tmpl w:val="9648E7A2"/>
    <w:lvl w:ilvl="0" w:tplc="7286E5BE">
      <w:start w:val="1"/>
      <w:numFmt w:val="decimal"/>
      <w:lvlText w:val="%1."/>
      <w:lvlJc w:val="left"/>
      <w:pPr>
        <w:ind w:left="118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432E22"/>
    <w:multiLevelType w:val="hybridMultilevel"/>
    <w:tmpl w:val="2D14A69C"/>
    <w:lvl w:ilvl="0" w:tplc="0B52A0F4">
      <w:start w:val="1"/>
      <w:numFmt w:val="decimal"/>
      <w:lvlText w:val="%1."/>
      <w:lvlJc w:val="left"/>
      <w:pPr>
        <w:tabs>
          <w:tab w:val="num" w:pos="2610"/>
        </w:tabs>
        <w:ind w:left="2610" w:hanging="360"/>
      </w:pPr>
      <w:rPr>
        <w:rFonts w:hint="default"/>
      </w:rPr>
    </w:lvl>
    <w:lvl w:ilvl="1" w:tplc="04090019" w:tentative="1">
      <w:start w:val="1"/>
      <w:numFmt w:val="ideographTraditional"/>
      <w:lvlText w:val="%2、"/>
      <w:lvlJc w:val="left"/>
      <w:pPr>
        <w:tabs>
          <w:tab w:val="num" w:pos="3210"/>
        </w:tabs>
        <w:ind w:left="3210" w:hanging="480"/>
      </w:pPr>
    </w:lvl>
    <w:lvl w:ilvl="2" w:tplc="0409001B" w:tentative="1">
      <w:start w:val="1"/>
      <w:numFmt w:val="lowerRoman"/>
      <w:lvlText w:val="%3."/>
      <w:lvlJc w:val="right"/>
      <w:pPr>
        <w:tabs>
          <w:tab w:val="num" w:pos="3690"/>
        </w:tabs>
        <w:ind w:left="3690" w:hanging="480"/>
      </w:pPr>
    </w:lvl>
    <w:lvl w:ilvl="3" w:tplc="0409000F" w:tentative="1">
      <w:start w:val="1"/>
      <w:numFmt w:val="decimal"/>
      <w:lvlText w:val="%4."/>
      <w:lvlJc w:val="left"/>
      <w:pPr>
        <w:tabs>
          <w:tab w:val="num" w:pos="4170"/>
        </w:tabs>
        <w:ind w:left="4170" w:hanging="480"/>
      </w:pPr>
    </w:lvl>
    <w:lvl w:ilvl="4" w:tplc="04090019" w:tentative="1">
      <w:start w:val="1"/>
      <w:numFmt w:val="ideographTraditional"/>
      <w:lvlText w:val="%5、"/>
      <w:lvlJc w:val="left"/>
      <w:pPr>
        <w:tabs>
          <w:tab w:val="num" w:pos="4650"/>
        </w:tabs>
        <w:ind w:left="4650" w:hanging="480"/>
      </w:pPr>
    </w:lvl>
    <w:lvl w:ilvl="5" w:tplc="0409001B" w:tentative="1">
      <w:start w:val="1"/>
      <w:numFmt w:val="lowerRoman"/>
      <w:lvlText w:val="%6."/>
      <w:lvlJc w:val="right"/>
      <w:pPr>
        <w:tabs>
          <w:tab w:val="num" w:pos="5130"/>
        </w:tabs>
        <w:ind w:left="5130" w:hanging="480"/>
      </w:pPr>
    </w:lvl>
    <w:lvl w:ilvl="6" w:tplc="0409000F" w:tentative="1">
      <w:start w:val="1"/>
      <w:numFmt w:val="decimal"/>
      <w:lvlText w:val="%7."/>
      <w:lvlJc w:val="left"/>
      <w:pPr>
        <w:tabs>
          <w:tab w:val="num" w:pos="5610"/>
        </w:tabs>
        <w:ind w:left="5610" w:hanging="480"/>
      </w:pPr>
    </w:lvl>
    <w:lvl w:ilvl="7" w:tplc="04090019" w:tentative="1">
      <w:start w:val="1"/>
      <w:numFmt w:val="ideographTraditional"/>
      <w:lvlText w:val="%8、"/>
      <w:lvlJc w:val="left"/>
      <w:pPr>
        <w:tabs>
          <w:tab w:val="num" w:pos="6090"/>
        </w:tabs>
        <w:ind w:left="6090" w:hanging="480"/>
      </w:pPr>
    </w:lvl>
    <w:lvl w:ilvl="8" w:tplc="0409001B" w:tentative="1">
      <w:start w:val="1"/>
      <w:numFmt w:val="lowerRoman"/>
      <w:lvlText w:val="%9."/>
      <w:lvlJc w:val="right"/>
      <w:pPr>
        <w:tabs>
          <w:tab w:val="num" w:pos="6570"/>
        </w:tabs>
        <w:ind w:left="6570" w:hanging="480"/>
      </w:pPr>
    </w:lvl>
  </w:abstractNum>
  <w:abstractNum w:abstractNumId="3">
    <w:nsid w:val="5D56692D"/>
    <w:multiLevelType w:val="hybridMultilevel"/>
    <w:tmpl w:val="6602C77E"/>
    <w:lvl w:ilvl="0" w:tplc="988CB1F6">
      <w:start w:val="1"/>
      <w:numFmt w:val="decimal"/>
      <w:lvlText w:val="%1."/>
      <w:lvlJc w:val="left"/>
      <w:pPr>
        <w:ind w:left="118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A17373"/>
    <w:multiLevelType w:val="hybridMultilevel"/>
    <w:tmpl w:val="9B8492DC"/>
    <w:lvl w:ilvl="0" w:tplc="8FA2BC94">
      <w:start w:val="1"/>
      <w:numFmt w:val="upperLetter"/>
      <w:pStyle w:val="1"/>
      <w:lvlText w:val="%1."/>
      <w:lvlJc w:val="left"/>
      <w:pPr>
        <w:tabs>
          <w:tab w:val="num" w:pos="930"/>
        </w:tabs>
        <w:ind w:left="930" w:hanging="360"/>
      </w:pPr>
    </w:lvl>
    <w:lvl w:ilvl="1" w:tplc="0520E12A">
      <w:start w:val="1"/>
      <w:numFmt w:val="lowerLetter"/>
      <w:lvlText w:val="%2."/>
      <w:lvlJc w:val="left"/>
      <w:pPr>
        <w:tabs>
          <w:tab w:val="num" w:pos="1410"/>
        </w:tabs>
        <w:ind w:left="14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084942"/>
    <w:multiLevelType w:val="hybridMultilevel"/>
    <w:tmpl w:val="76F4E83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66470135"/>
    <w:multiLevelType w:val="hybridMultilevel"/>
    <w:tmpl w:val="147E985E"/>
    <w:lvl w:ilvl="0" w:tplc="ED0208F4">
      <w:start w:val="1"/>
      <w:numFmt w:val="decimal"/>
      <w:lvlText w:val="%1."/>
      <w:lvlJc w:val="left"/>
      <w:pPr>
        <w:ind w:left="118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9A8"/>
    <w:rsid w:val="00401281"/>
    <w:rsid w:val="0044115F"/>
    <w:rsid w:val="006E5470"/>
    <w:rsid w:val="00CF7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A8"/>
    <w:pPr>
      <w:widowControl w:val="0"/>
    </w:pPr>
    <w:rPr>
      <w:rFonts w:ascii="Times New Roman" w:eastAsia="新細明體" w:hAnsi="Times New Roman" w:cs="Times New Roman"/>
      <w:szCs w:val="24"/>
    </w:rPr>
  </w:style>
  <w:style w:type="paragraph" w:styleId="1">
    <w:name w:val="heading 1"/>
    <w:basedOn w:val="a"/>
    <w:next w:val="a"/>
    <w:link w:val="10"/>
    <w:qFormat/>
    <w:rsid w:val="0044115F"/>
    <w:pPr>
      <w:keepNext/>
      <w:numPr>
        <w:numId w:val="1"/>
      </w:numPr>
      <w:spacing w:beforeLines="25" w:line="360" w:lineRule="atLeast"/>
      <w:jc w:val="both"/>
      <w:outlineLvl w:val="0"/>
    </w:pPr>
    <w:rPr>
      <w:rFonts w:ascii="華康細圓體" w:eastAsia="華康細圓體" w:hAnsi="標楷體" w:cs="Arial Unicode M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4115F"/>
    <w:rPr>
      <w:rFonts w:ascii="華康細圓體" w:eastAsia="華康細圓體" w:hAnsi="標楷體" w:cs="Arial Unicode MS"/>
      <w:spacing w:val="20"/>
      <w:sz w:val="28"/>
      <w:szCs w:val="24"/>
    </w:rPr>
  </w:style>
  <w:style w:type="paragraph" w:styleId="a3">
    <w:name w:val="No Spacing"/>
    <w:uiPriority w:val="1"/>
    <w:qFormat/>
    <w:rsid w:val="0044115F"/>
    <w:pPr>
      <w:widowControl w:val="0"/>
    </w:pPr>
  </w:style>
  <w:style w:type="paragraph" w:styleId="a4">
    <w:name w:val="List Paragraph"/>
    <w:basedOn w:val="a"/>
    <w:uiPriority w:val="34"/>
    <w:qFormat/>
    <w:rsid w:val="0044115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2010-06-07T06:20:00Z</dcterms:created>
  <dcterms:modified xsi:type="dcterms:W3CDTF">2010-06-07T06:25:00Z</dcterms:modified>
</cp:coreProperties>
</file>